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Subtitle"/>
        <w:contextualSpacing w:val="0"/>
        <w:jc w:val="center"/>
        <w:rPr>
          <w:b w:val="1"/>
          <w:sz w:val="22"/>
          <w:szCs w:val="22"/>
        </w:rPr>
      </w:pPr>
      <w:bookmarkStart w:colFirst="0" w:colLast="0" w:name="_xrdg1e6uocg" w:id="0"/>
      <w:bookmarkEnd w:id="0"/>
      <w:r w:rsidDel="00000000" w:rsidR="00000000" w:rsidRPr="00000000">
        <w:rPr>
          <w:u w:val="single"/>
          <w:vertAlign w:val="baseline"/>
          <w:rtl w:val="0"/>
        </w:rPr>
        <w:t xml:space="preserve">Youth Culture Assignment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Due: </w:t>
      </w:r>
      <w:r w:rsidDel="00000000" w:rsidR="00000000" w:rsidRPr="00000000">
        <w:rPr>
          <w:b w:val="1"/>
          <w:sz w:val="22"/>
          <w:szCs w:val="22"/>
          <w:rtl w:val="0"/>
        </w:rPr>
        <w:t xml:space="preserve">November 27th, 2017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Task: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In this assignment you will have the opportunity to creatively express youth culture, as it relates to </w:t>
      </w:r>
      <w:r w:rsidDel="00000000" w:rsidR="00000000" w:rsidRPr="00000000">
        <w:rPr>
          <w:sz w:val="22"/>
          <w:szCs w:val="22"/>
          <w:rtl w:val="0"/>
        </w:rPr>
        <w:t xml:space="preserve">Erik Erikson’s Psychological Stages,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in a medium of your choice.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ead </w:t>
      </w:r>
      <w:r w:rsidDel="00000000" w:rsidR="00000000" w:rsidRPr="00000000">
        <w:rPr>
          <w:sz w:val="22"/>
          <w:szCs w:val="22"/>
          <w:rtl w:val="0"/>
        </w:rPr>
        <w:t xml:space="preserve">Erik Erikson’s Psychological Stages, which explains personality development throughout the human lifespan.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substantiate your understanding of the content via a conference with the teacher.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  <w:u w:val="none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Then choose a medium from the list below and creatively express the 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sentiments, characteristics, challenges or prospects that youth today face.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Please choose from one of the following: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/>
          <w:pgMar w:bottom="1440" w:top="1440" w:left="1797" w:right="1797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Song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Painting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Sculpture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sz w:val="22"/>
          <w:szCs w:val="22"/>
          <w:rtl w:val="0"/>
        </w:rPr>
        <w:t xml:space="preserve">Powerpoint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Drama Script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Brochure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Interview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567" w:right="0" w:firstLine="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News Article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  <w:vertAlign w:val="baseline"/>
        </w:rPr>
        <w:sectPr>
          <w:type w:val="continuous"/>
          <w:pgSz w:h="15840" w:w="12240"/>
          <w:pgMar w:bottom="1440" w:top="1440" w:left="1797" w:right="1797" w:header="0"/>
          <w:cols w:equalWidth="0" w:num="2">
            <w:col w:space="708" w:w="3969"/>
            <w:col w:space="0" w:w="3969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The assignment will be marked out of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0, and assessed using the following rubric:</w:t>
      </w:r>
    </w:p>
    <w:tbl>
      <w:tblPr>
        <w:tblStyle w:val="Table1"/>
        <w:tblW w:w="88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1"/>
        <w:gridCol w:w="1759"/>
        <w:gridCol w:w="1760"/>
        <w:gridCol w:w="1761"/>
        <w:gridCol w:w="1761"/>
        <w:tblGridChange w:id="0">
          <w:tblGrid>
            <w:gridCol w:w="1821"/>
            <w:gridCol w:w="1759"/>
            <w:gridCol w:w="1760"/>
            <w:gridCol w:w="1761"/>
            <w:gridCol w:w="1761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Level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80-100%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Level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70-79%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Level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60-69%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Level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50-59%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Knowledge &amp; Understanding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exceptional understanding of themes and theories related to youth culture.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considerable understanding of themes and theories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related to youth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some understanding of themes and theories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related to youth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limited understanding of themes and theories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related to youth culture.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Thinking and Inquiry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thorough analysis and connection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to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Erik Erikson’s Psychological Stages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considerable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analysis and connection to Erik Erikson’s Psychological Stages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some 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nalysis and connection to Erik Erikson’s Psychological Stages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Demonstrates limited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analysis and connection to Erik Erikson’s Psychological Stages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Communication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Extremely effective at</w:t>
            </w:r>
          </w:p>
          <w:p w:rsidR="00000000" w:rsidDel="00000000" w:rsidP="00000000" w:rsidRDefault="00000000" w:rsidRPr="00000000">
            <w:pPr>
              <w:spacing w:after="0" w:before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conveying thoughts in chosen medium.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Effectively conveys thoughts in chosen medium. 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Conveys thoughts in chosen medium. 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Does not convey thoughts effectively in chosen medium. 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Application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Applies knowledge into assignment with extreme insight.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Applies knowledge into assignment with insight.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Applies knowledge into assignment with some insight.</w:t>
            </w:r>
          </w:p>
        </w:tc>
        <w:tc>
          <w:tcPr>
            <w:vAlign w:val="top"/>
          </w:tcPr>
          <w:p w:rsidR="00000000" w:rsidDel="00000000" w:rsidP="00000000" w:rsidRDefault="00000000" w:rsidRPr="00000000">
            <w:pPr>
              <w:spacing w:after="0" w:lineRule="auto"/>
              <w:contextualSpacing w:val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Applies knowledge into assignment with limited insight.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797" w:right="1797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567" w:firstLine="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GB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